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Times New Roman" w:hAnsi="Times New Roman" w:cs="Times New Roman"/>
          <w:sz w:val="20"/>
        </w:rPr>
      </w:pPr>
      <w:bookmarkStart w:id="4" w:name="_GoBack"/>
    </w:p>
    <w:p>
      <w:pPr>
        <w:pStyle w:val="5"/>
        <w:rPr>
          <w:rFonts w:hint="default" w:ascii="Times New Roman" w:hAnsi="Times New Roman" w:cs="Times New Roman"/>
          <w:sz w:val="20"/>
        </w:rPr>
      </w:pPr>
    </w:p>
    <w:p>
      <w:pPr>
        <w:pStyle w:val="5"/>
        <w:rPr>
          <w:rFonts w:hint="default" w:ascii="Times New Roman" w:hAnsi="Times New Roman" w:cs="Times New Roman"/>
          <w:sz w:val="20"/>
        </w:rPr>
      </w:pPr>
    </w:p>
    <w:p>
      <w:pPr>
        <w:autoSpaceDE/>
        <w:autoSpaceDN/>
        <w:spacing w:line="72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36"/>
          <w:lang w:val="en-US"/>
        </w:rPr>
      </w:pPr>
      <w:bookmarkStart w:id="0" w:name="山东黄金集团有限公司"/>
      <w:bookmarkEnd w:id="0"/>
      <w:r>
        <w:rPr>
          <w:rFonts w:hint="default" w:ascii="Times New Roman" w:hAnsi="Times New Roman" w:eastAsia="方正小标宋简体" w:cs="Times New Roman"/>
          <w:b/>
          <w:sz w:val="44"/>
          <w:szCs w:val="36"/>
          <w:lang w:val="en-US"/>
        </w:rPr>
        <w:t>济宁孔子文化旅游集团</w:t>
      </w:r>
    </w:p>
    <w:p>
      <w:pPr>
        <w:pStyle w:val="5"/>
        <w:spacing w:before="12"/>
        <w:jc w:val="center"/>
        <w:rPr>
          <w:rFonts w:hint="default" w:ascii="Times New Roman" w:hAnsi="Times New Roman" w:eastAsia="方正小标宋简体" w:cs="Times New Roman"/>
          <w:b/>
          <w:sz w:val="44"/>
          <w:szCs w:val="36"/>
          <w:lang w:val="en-US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36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b/>
          <w:sz w:val="44"/>
          <w:szCs w:val="36"/>
          <w:lang w:val="en-US"/>
        </w:rPr>
        <w:t>年半年度财务等重大信息公告</w:t>
      </w:r>
    </w:p>
    <w:p>
      <w:pPr>
        <w:pStyle w:val="5"/>
        <w:spacing w:before="12"/>
        <w:jc w:val="center"/>
        <w:rPr>
          <w:rFonts w:hint="default" w:ascii="Times New Roman" w:hAnsi="Times New Roman" w:eastAsia="方正小标宋简体" w:cs="Times New Roman"/>
          <w:b/>
          <w:sz w:val="44"/>
          <w:szCs w:val="36"/>
          <w:lang w:val="en-US"/>
        </w:rPr>
      </w:pPr>
    </w:p>
    <w:p>
      <w:pPr>
        <w:pStyle w:val="5"/>
        <w:spacing w:before="12"/>
        <w:jc w:val="center"/>
        <w:rPr>
          <w:rFonts w:hint="default" w:ascii="Times New Roman" w:hAnsi="Times New Roman" w:eastAsia="方正小标宋简体" w:cs="Times New Roman"/>
          <w:b/>
          <w:sz w:val="44"/>
          <w:szCs w:val="36"/>
          <w:lang w:val="en-US"/>
        </w:rPr>
      </w:pPr>
    </w:p>
    <w:p>
      <w:pPr>
        <w:pStyle w:val="5"/>
        <w:spacing w:line="600" w:lineRule="exact"/>
        <w:jc w:val="center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</w:rPr>
        <w:t>重要提示</w:t>
      </w:r>
    </w:p>
    <w:p>
      <w:pPr>
        <w:pStyle w:val="5"/>
        <w:spacing w:line="600" w:lineRule="exact"/>
        <w:ind w:firstLine="640" w:firstLineChars="200"/>
        <w:rPr>
          <w:rFonts w:hint="default" w:ascii="Times New Roman" w:hAnsi="Times New Roman" w:eastAsia="方正黑体简体" w:cs="Times New Roman"/>
        </w:rPr>
      </w:pPr>
    </w:p>
    <w:p>
      <w:pPr>
        <w:pStyle w:val="5"/>
        <w:spacing w:line="600" w:lineRule="exact"/>
        <w:ind w:firstLine="640" w:firstLineChars="200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</w:rPr>
        <w:t>本公司董事会及全体董事保证本公告内容不存在任何虚假记载、误导性陈述或者重大遗漏，并对其内容的真实性、准确性和完整性承担个别及连带责任。</w:t>
      </w:r>
    </w:p>
    <w:p>
      <w:pPr>
        <w:spacing w:line="410" w:lineRule="auto"/>
        <w:jc w:val="both"/>
        <w:rPr>
          <w:rFonts w:hint="default" w:ascii="Times New Roman" w:hAnsi="Times New Roman" w:eastAsia="黑体" w:cs="Times New Roman"/>
        </w:rPr>
        <w:sectPr>
          <w:footerReference r:id="rId3" w:type="default"/>
          <w:type w:val="continuous"/>
          <w:pgSz w:w="11910" w:h="16840"/>
          <w:pgMar w:top="1440" w:right="1803" w:bottom="1440" w:left="1803" w:header="720" w:footer="1338" w:gutter="0"/>
          <w:pgNumType w:start="1"/>
          <w:cols w:space="0" w:num="1"/>
        </w:sectPr>
      </w:pPr>
    </w:p>
    <w:p>
      <w:pPr>
        <w:spacing w:line="619" w:lineRule="exact"/>
        <w:ind w:right="60"/>
        <w:jc w:val="center"/>
        <w:rPr>
          <w:rFonts w:hint="default" w:ascii="Times New Roman" w:hAnsi="Times New Roman" w:eastAsia="方正小标宋简体" w:cs="Times New Roman"/>
          <w:b/>
          <w:sz w:val="36"/>
        </w:rPr>
      </w:pPr>
      <w:r>
        <w:rPr>
          <w:rFonts w:hint="default" w:ascii="Times New Roman" w:hAnsi="Times New Roman" w:eastAsia="方正小标宋简体" w:cs="Times New Roman"/>
          <w:b/>
          <w:sz w:val="36"/>
        </w:rPr>
        <w:t>目</w:t>
      </w:r>
      <w:r>
        <w:rPr>
          <w:rFonts w:hint="default" w:ascii="Times New Roman" w:hAnsi="Times New Roman" w:eastAsia="方正小标宋简体" w:cs="Times New Roman"/>
          <w:b/>
          <w:sz w:val="36"/>
          <w:lang w:val="en-US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sz w:val="36"/>
        </w:rPr>
        <w:t>录</w:t>
      </w:r>
    </w:p>
    <w:p>
      <w:pPr>
        <w:spacing w:line="619" w:lineRule="exact"/>
        <w:ind w:right="60"/>
        <w:jc w:val="center"/>
        <w:rPr>
          <w:rFonts w:hint="default" w:ascii="Times New Roman" w:hAnsi="Times New Roman" w:eastAsia="方正小标宋简体" w:cs="Times New Roman"/>
          <w:b/>
          <w:sz w:val="36"/>
        </w:rPr>
      </w:pPr>
    </w:p>
    <w:p>
      <w:pPr>
        <w:tabs>
          <w:tab w:val="left" w:pos="1419"/>
          <w:tab w:val="right" w:leader="dot" w:pos="8515"/>
        </w:tabs>
        <w:spacing w:after="120" w:afterLines="50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"_bookmark0"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黑体简体" w:cs="Times New Roman"/>
          <w:sz w:val="32"/>
          <w:szCs w:val="32"/>
        </w:rPr>
        <w:t>第一节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sz w:val="32"/>
          <w:szCs w:val="32"/>
        </w:rPr>
        <w:t>释义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sz w:val="32"/>
          <w:szCs w:val="32"/>
        </w:rPr>
        <w:t>3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fldChar w:fldCharType="end"/>
      </w:r>
    </w:p>
    <w:p>
      <w:pPr>
        <w:tabs>
          <w:tab w:val="left" w:pos="1419"/>
          <w:tab w:val="right" w:leader="dot" w:pos="8515"/>
        </w:tabs>
        <w:spacing w:after="120" w:afterLines="50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"_bookmark1"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黑体简体" w:cs="Times New Roman"/>
          <w:sz w:val="32"/>
          <w:szCs w:val="32"/>
        </w:rPr>
        <w:t>第二节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sz w:val="32"/>
          <w:szCs w:val="32"/>
        </w:rPr>
        <w:t>公司基本情况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sz w:val="32"/>
          <w:szCs w:val="32"/>
        </w:rPr>
        <w:t>3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fldChar w:fldCharType="end"/>
      </w:r>
    </w:p>
    <w:p>
      <w:pPr>
        <w:tabs>
          <w:tab w:val="left" w:pos="1419"/>
          <w:tab w:val="right" w:leader="dot" w:pos="8515"/>
        </w:tabs>
        <w:spacing w:after="120" w:afterLines="50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第三节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sz w:val="32"/>
          <w:szCs w:val="32"/>
        </w:rPr>
        <w:t>主要会计数据和财务指标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6</w:t>
      </w:r>
    </w:p>
    <w:p>
      <w:pPr>
        <w:tabs>
          <w:tab w:val="left" w:pos="1419"/>
          <w:tab w:val="right" w:leader="dot" w:pos="8515"/>
        </w:tabs>
        <w:spacing w:after="120" w:afterLines="50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第四节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sz w:val="32"/>
          <w:szCs w:val="32"/>
        </w:rPr>
        <w:t>财务预算执行情况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7</w:t>
      </w:r>
    </w:p>
    <w:p>
      <w:pPr>
        <w:rPr>
          <w:rFonts w:hint="default" w:ascii="Times New Roman" w:hAnsi="Times New Roman" w:eastAsia="黑体" w:cs="Times New Roman"/>
          <w:sz w:val="30"/>
        </w:rPr>
        <w:sectPr>
          <w:pgSz w:w="11910" w:h="16840"/>
          <w:pgMar w:top="1440" w:right="1803" w:bottom="1440" w:left="1803" w:header="720" w:footer="1338" w:gutter="0"/>
          <w:cols w:space="0" w:num="1"/>
        </w:sectPr>
      </w:pPr>
    </w:p>
    <w:p>
      <w:pPr>
        <w:tabs>
          <w:tab w:val="left" w:pos="1281"/>
        </w:tabs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  <w:bookmarkStart w:id="1" w:name="_bookmark0"/>
      <w:bookmarkEnd w:id="1"/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第一节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释义</w:t>
      </w:r>
    </w:p>
    <w:p>
      <w:pPr>
        <w:pStyle w:val="5"/>
        <w:spacing w:line="600" w:lineRule="exact"/>
        <w:rPr>
          <w:rFonts w:hint="default" w:ascii="Times New Roman" w:hAnsi="Times New Roman" w:cs="Times New Roman"/>
        </w:rPr>
      </w:pPr>
    </w:p>
    <w:p>
      <w:pPr>
        <w:pStyle w:val="5"/>
        <w:spacing w:line="600" w:lineRule="exact"/>
        <w:ind w:firstLine="641" w:firstLineChars="200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</w:rPr>
        <w:t>一、本公告内容中，除非文义另有所指，下列词语具有如下含义：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bookmarkStart w:id="2" w:name="_bookmark1"/>
      <w:bookmarkEnd w:id="2"/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1.济宁孔子文旅集团、文旅集团、集团公司、集团、公司：指济宁孔子文化旅游集团有限公司</w:t>
      </w:r>
    </w:p>
    <w:p>
      <w:pPr>
        <w:pStyle w:val="5"/>
        <w:spacing w:line="600" w:lineRule="exact"/>
        <w:ind w:firstLine="643" w:firstLineChars="200"/>
        <w:rPr>
          <w:rFonts w:hint="default" w:ascii="Times New Roman" w:hAnsi="Times New Roman" w:eastAsia="黑体" w:cs="Times New Roman"/>
          <w:b/>
        </w:rPr>
      </w:pPr>
      <w:r>
        <w:rPr>
          <w:rFonts w:hint="default" w:ascii="Times New Roman" w:hAnsi="Times New Roman" w:eastAsia="黑体" w:cs="Times New Roman"/>
          <w:b/>
        </w:rPr>
        <w:t>二、本信息公告口径说明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1.数据列报口径：除特别说明外，为集团合并口径。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2.数据计量单位：除特别注明外，货币单位为人民币。</w:t>
      </w:r>
    </w:p>
    <w:p>
      <w:pPr>
        <w:autoSpaceDE/>
        <w:autoSpaceDN/>
        <w:spacing w:line="600" w:lineRule="exact"/>
        <w:rPr>
          <w:rFonts w:hint="default" w:ascii="Times New Roman" w:hAnsi="Times New Roman" w:eastAsia="方正仿宋_GB2312" w:cs="Times New Roman"/>
          <w:b/>
          <w:sz w:val="32"/>
          <w:szCs w:val="32"/>
          <w:lang w:val="en-US"/>
        </w:rPr>
      </w:pPr>
    </w:p>
    <w:p>
      <w:pPr>
        <w:tabs>
          <w:tab w:val="left" w:pos="1281"/>
        </w:tabs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第二节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公司基本情况</w:t>
      </w:r>
    </w:p>
    <w:p>
      <w:pPr>
        <w:pStyle w:val="5"/>
        <w:spacing w:line="600" w:lineRule="exact"/>
        <w:rPr>
          <w:rFonts w:hint="default" w:ascii="Times New Roman" w:hAnsi="Times New Roman" w:cs="Times New Roman"/>
        </w:rPr>
      </w:pPr>
    </w:p>
    <w:p>
      <w:pPr>
        <w:pStyle w:val="5"/>
        <w:spacing w:line="600" w:lineRule="exact"/>
        <w:ind w:firstLine="641" w:firstLineChars="200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</w:rPr>
        <w:t>一、基本情况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中文名称：济宁孔子文化旅游集团有限公司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简        称：济宁孔子文旅集团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注册地址：济宁市高新区洸河街道吴泰闸路23号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经营范围：文化旅游资源及景区的规划设计、开发建设、运营管理; 酒店、宾馆的开发建设、经营及管理服务。旅行社经营及管理服务，会议及展览服务;文化旅游项目的规划、投资、开发、建设及运营管理。客运服务、停车场服务; 文化创意和旅游商品的设计、研发、经营;公共文化旅游设施及旅游地产的投资开发，房屋装饰装修、物业管理及自有场地租赁;文化旅游信息咨询、策划服务、教育信息咨询服务。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办公地址：济宁市高新区洸河街道吴泰闸路23号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网        址：www.jnkzwljt.com/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电子邮箱：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"mailto:jnkzwljt@163.com"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jnkzwljt@163.com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fldChar w:fldCharType="end"/>
      </w:r>
    </w:p>
    <w:p>
      <w:pPr>
        <w:pStyle w:val="5"/>
        <w:spacing w:line="600" w:lineRule="exact"/>
        <w:ind w:firstLine="641" w:firstLineChars="200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</w:rPr>
        <w:t>二、公司简介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公司简介：济宁孔子文化旅游集团系济宁市委、市政府主持成立的全资国有大型文旅企业，注册资本金8.92亿元。是弘扬优秀传统文化、推动文化旅游深度融合发展的重要平台，承担济宁文化旅游国有资产运营及管理、国有资本运作、文化旅游项目建设投资等职能。下设景区运营管理、旅游宾馆酒店运营管理、项目开发建设、文化创意商品研发、文化旅游投融资运营、研学游与文旅职业培训六大板块，拥有济宁旅游惠民卡发行等资质。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济宁孔子文旅集团运营景区占全市A级景区的70%以上，形成了“东文西武、南水北佛、中古运河”的旅游大格局。现拥有曲阜、邹城、微山、梁山等十余家较为成熟的文旅企业，成立了济宁儒兴智慧旅游有限公司、济宁儒兴研学旅游发展有限公司、山东儒兴产业发展投资有限公司等多家平台公司，下辖星级酒店、A级旅行社、大型游客中心、研学游、康养游基地及其他景点，各级子公司达50余家。上榜全国文旅集团品牌影响力100强榜单，位列全国第25名。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济宁孔子文旅集团充分发挥文旅产业龙头引领作用，围绕儒家文化、运河文化、红色文化，结合新形势下游客新需求和济宁实际，研发、优化和完善特色产品线路，为消费者提供更高品质的产品和服务。以独特的文化塑造特色化、个性化、高品质的旅游产品和服务，助推文化“两创”，推动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济宁市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文旅产业在更广范围、更深层次、更高水平上的融合发展。</w:t>
      </w:r>
    </w:p>
    <w:p>
      <w:pPr>
        <w:autoSpaceDE/>
        <w:autoSpaceDN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  <w:t>下一步济宁孔子文旅集团将按照“发展大旅游、组建大集团、形成大产业”的目标思路，重点建设以孔子为引领的儒家文化品牌、以运河文化为主线的文旅康养项目品牌、以东方儒家为特色的餐饮服务品牌、以文化创意为核心的旅游商品品牌、以智慧旅游为依托的全域旅游品牌五大品牌，整合一批优质资源、策划一批精品线路、建设一批核心项目，加大对外合作力度，全力打造“省内一流、全国知名”的文化旅游产业综合服务平台、运营平台、投融资平台，把济宁打造成为全域旅游目的地城市和世界文化旅游名城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tabs>
          <w:tab w:val="left" w:pos="1281"/>
        </w:tabs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第三节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主要会计数据和财务指标</w:t>
      </w:r>
    </w:p>
    <w:p>
      <w:pPr>
        <w:pStyle w:val="5"/>
        <w:spacing w:line="600" w:lineRule="exact"/>
        <w:rPr>
          <w:rFonts w:hint="default" w:ascii="Times New Roman" w:hAnsi="Times New Roman" w:cs="Times New Roman"/>
        </w:rPr>
      </w:pPr>
    </w:p>
    <w:p>
      <w:pPr>
        <w:pStyle w:val="5"/>
        <w:spacing w:line="600" w:lineRule="exact"/>
        <w:jc w:val="right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w w:val="95"/>
        </w:rPr>
        <w:t>单位：万元</w:t>
      </w:r>
    </w:p>
    <w:tbl>
      <w:tblPr>
        <w:tblStyle w:val="6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2340"/>
        <w:gridCol w:w="2070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</w:pPr>
            <w:bookmarkStart w:id="3" w:name="OLE_LINK1"/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项</w:t>
            </w: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目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本期金额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上期金额</w:t>
            </w:r>
          </w:p>
        </w:tc>
        <w:tc>
          <w:tcPr>
            <w:tcW w:w="222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position w:val="1"/>
                <w:sz w:val="32"/>
                <w:szCs w:val="32"/>
              </w:rPr>
              <w:t>变动比例</w:t>
            </w:r>
            <w:r>
              <w:rPr>
                <w:rFonts w:hint="default" w:ascii="Times New Roman" w:hAnsi="Times New Roman" w:eastAsia="方正黑体简体" w:cs="Times New Roman"/>
                <w:b/>
                <w:spacing w:val="12"/>
                <w:position w:val="1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b/>
                <w:spacing w:val="-79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b/>
                <w:spacing w:val="12"/>
                <w:w w:val="99"/>
                <w:sz w:val="32"/>
                <w:szCs w:val="32"/>
              </w:rPr>
              <w:drawing>
                <wp:inline distT="0" distB="0" distL="0" distR="0">
                  <wp:extent cx="85090" cy="1549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4" cy="155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方正黑体简体" w:cs="Times New Roman"/>
                <w:b/>
                <w:position w:val="1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30124.65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57473.34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-47.59%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32708.39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54929.22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-40.45%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销售费用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5626.43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3900.32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44.26%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管理费用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7138.83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10086.98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-29.23%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财务费用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875.58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1539.78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-43.14%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营业利润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2343.44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3366.55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-30.39%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投资收益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77.43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2544.24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4724.51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-46.15%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已交税费总额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1130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1558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-27.47%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2002.88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3185.19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-37.12%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3"/>
                <w:position w:val="1"/>
                <w:sz w:val="32"/>
                <w:szCs w:val="32"/>
              </w:rPr>
              <w:t>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利润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3"/>
                <w:position w:val="1"/>
                <w:sz w:val="32"/>
                <w:szCs w:val="32"/>
              </w:rPr>
              <w:t>率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6"/>
                <w:position w:val="1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3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9"/>
                <w:sz w:val="32"/>
                <w:szCs w:val="32"/>
              </w:rPr>
              <w:drawing>
                <wp:inline distT="0" distB="0" distL="0" distR="0">
                  <wp:extent cx="75565" cy="135890"/>
                  <wp:effectExtent l="0" t="0" r="635" b="16510"/>
                  <wp:docPr id="3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36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）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7.78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8.22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-5.35%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项</w:t>
            </w: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目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期末余额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年初余额</w:t>
            </w:r>
          </w:p>
        </w:tc>
        <w:tc>
          <w:tcPr>
            <w:tcW w:w="222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 xml:space="preserve">变动比例（ </w:t>
            </w: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drawing>
                <wp:inline distT="0" distB="0" distL="0" distR="0">
                  <wp:extent cx="85090" cy="154940"/>
                  <wp:effectExtent l="0" t="0" r="10160" b="1651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4" cy="155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资产总额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750821.52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663881.92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负债总额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247872.73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162936.01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52.13%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所有者权益</w:t>
            </w:r>
          </w:p>
        </w:tc>
        <w:tc>
          <w:tcPr>
            <w:tcW w:w="23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502948.79</w:t>
            </w:r>
          </w:p>
        </w:tc>
        <w:tc>
          <w:tcPr>
            <w:tcW w:w="20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500945.91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0.40%</w:t>
            </w:r>
          </w:p>
        </w:tc>
      </w:tr>
      <w:bookmarkEnd w:id="3"/>
    </w:tbl>
    <w:p>
      <w:pPr>
        <w:pStyle w:val="5"/>
        <w:spacing w:line="600" w:lineRule="exact"/>
        <w:rPr>
          <w:rFonts w:hint="default" w:ascii="Times New Roman" w:hAnsi="Times New Roman" w:cs="Times New Roman"/>
        </w:rPr>
      </w:pPr>
    </w:p>
    <w:p>
      <w:pPr>
        <w:pStyle w:val="5"/>
        <w:spacing w:line="600" w:lineRule="exact"/>
        <w:rPr>
          <w:rFonts w:hint="default" w:ascii="Times New Roman" w:hAnsi="Times New Roman" w:cs="Times New Roman"/>
        </w:rPr>
      </w:pPr>
    </w:p>
    <w:p>
      <w:pPr>
        <w:pStyle w:val="5"/>
        <w:spacing w:line="600" w:lineRule="exact"/>
        <w:rPr>
          <w:rFonts w:hint="default" w:ascii="Times New Roman" w:hAnsi="Times New Roman" w:cs="Times New Roman"/>
        </w:rPr>
      </w:pPr>
    </w:p>
    <w:p>
      <w:pPr>
        <w:tabs>
          <w:tab w:val="left" w:pos="1281"/>
        </w:tabs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节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财务预算执行情况</w:t>
      </w:r>
    </w:p>
    <w:p>
      <w:pPr>
        <w:tabs>
          <w:tab w:val="left" w:pos="1281"/>
        </w:tabs>
        <w:spacing w:line="60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5"/>
        <w:spacing w:line="600" w:lineRule="exact"/>
        <w:jc w:val="right"/>
        <w:rPr>
          <w:rFonts w:hint="default" w:ascii="Times New Roman" w:hAnsi="Times New Roman" w:eastAsia="方正仿宋简体" w:cs="Times New Roman"/>
          <w:b/>
          <w:lang w:val="en-US"/>
        </w:rPr>
      </w:pPr>
      <w:r>
        <w:rPr>
          <w:rFonts w:hint="default" w:ascii="Times New Roman" w:hAnsi="Times New Roman" w:eastAsia="方正仿宋简体" w:cs="Times New Roman"/>
          <w:b/>
          <w:lang w:val="en-US"/>
        </w:rPr>
        <w:t>单位：万元</w:t>
      </w:r>
    </w:p>
    <w:tbl>
      <w:tblPr>
        <w:tblStyle w:val="6"/>
        <w:tblW w:w="9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0"/>
        <w:gridCol w:w="2240"/>
        <w:gridCol w:w="2240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500" w:type="dxa"/>
            <w:vAlign w:val="center"/>
          </w:tcPr>
          <w:p>
            <w:pPr>
              <w:pStyle w:val="12"/>
              <w:tabs>
                <w:tab w:val="left" w:pos="571"/>
              </w:tabs>
              <w:spacing w:before="0" w:line="600" w:lineRule="exact"/>
              <w:ind w:left="0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项</w:t>
            </w: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目</w:t>
            </w:r>
          </w:p>
        </w:tc>
        <w:tc>
          <w:tcPr>
            <w:tcW w:w="224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  <w:highlight w:val="none"/>
              </w:rPr>
              <w:t>本期金额</w:t>
            </w:r>
          </w:p>
        </w:tc>
        <w:tc>
          <w:tcPr>
            <w:tcW w:w="224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  <w:highlight w:val="none"/>
              </w:rPr>
              <w:t>年度预算</w:t>
            </w:r>
          </w:p>
        </w:tc>
        <w:tc>
          <w:tcPr>
            <w:tcW w:w="224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  <w:highlight w:val="none"/>
              </w:rPr>
              <w:t>完成比例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50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224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30124.65</w:t>
            </w:r>
          </w:p>
        </w:tc>
        <w:tc>
          <w:tcPr>
            <w:tcW w:w="224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55100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50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224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32708.39</w:t>
            </w:r>
          </w:p>
        </w:tc>
        <w:tc>
          <w:tcPr>
            <w:tcW w:w="224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55904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58.51%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50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224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2544.24</w:t>
            </w:r>
          </w:p>
        </w:tc>
        <w:tc>
          <w:tcPr>
            <w:tcW w:w="2240" w:type="dxa"/>
            <w:vAlign w:val="center"/>
          </w:tcPr>
          <w:p>
            <w:pPr>
              <w:pStyle w:val="12"/>
              <w:spacing w:before="0" w:line="600" w:lineRule="exact"/>
              <w:ind w:left="0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1760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144.56%</w:t>
            </w:r>
          </w:p>
        </w:tc>
      </w:tr>
    </w:tbl>
    <w:p>
      <w:pPr>
        <w:pStyle w:val="5"/>
        <w:numPr>
          <w:ilvl w:val="0"/>
          <w:numId w:val="0"/>
        </w:numPr>
        <w:spacing w:line="600" w:lineRule="exact"/>
        <w:rPr>
          <w:rFonts w:hint="default" w:ascii="Times New Roman" w:hAnsi="Times New Roman" w:eastAsia="方正黑体简体" w:cs="Times New Roman"/>
          <w:b/>
          <w:bCs/>
        </w:rPr>
      </w:pPr>
    </w:p>
    <w:bookmarkEnd w:id="4"/>
    <w:sectPr>
      <w:pgSz w:w="11910" w:h="16840"/>
      <w:pgMar w:top="1440" w:right="1803" w:bottom="1440" w:left="1803" w:header="720" w:footer="1338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9702165</wp:posOffset>
              </wp:positionV>
              <wp:extent cx="470535" cy="203835"/>
              <wp:effectExtent l="0" t="0" r="0" b="0"/>
              <wp:wrapNone/>
              <wp:docPr id="4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9.2pt;margin-top:763.95pt;height:16.05pt;width:37.05pt;mso-position-horizontal-relative:page;mso-position-vertical-relative:page;z-index:-251657216;mso-width-relative:page;mso-height-relative:page;" filled="f" stroked="f" coordsize="21600,21600" o:gfxdata="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1CJs92wAAAA0BAAAPAAAAAAAAAAEAIAAAACIAAABkcnMvZG93bnJldi54bWxQ&#10;SwECFAAUAAAACACHTuJA+lVFxrsBAABy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TQ0N2IxM2Q2ZWUzNmRlMmNmNGIzYjQzNDZhNzAifQ=="/>
  </w:docVars>
  <w:rsids>
    <w:rsidRoot w:val="009A33D8"/>
    <w:rsid w:val="0010298A"/>
    <w:rsid w:val="00242027"/>
    <w:rsid w:val="0046519A"/>
    <w:rsid w:val="004733D0"/>
    <w:rsid w:val="00524457"/>
    <w:rsid w:val="005B2FCD"/>
    <w:rsid w:val="005E7C3A"/>
    <w:rsid w:val="006914BC"/>
    <w:rsid w:val="00722A58"/>
    <w:rsid w:val="00730B7F"/>
    <w:rsid w:val="009A33D8"/>
    <w:rsid w:val="00A81E77"/>
    <w:rsid w:val="00D847F7"/>
    <w:rsid w:val="00DE5573"/>
    <w:rsid w:val="00F07971"/>
    <w:rsid w:val="00F42CE1"/>
    <w:rsid w:val="00FB610D"/>
    <w:rsid w:val="08934BCF"/>
    <w:rsid w:val="0B8A5255"/>
    <w:rsid w:val="13792570"/>
    <w:rsid w:val="1C536FB4"/>
    <w:rsid w:val="23C47348"/>
    <w:rsid w:val="24890988"/>
    <w:rsid w:val="344B1A12"/>
    <w:rsid w:val="39FB1645"/>
    <w:rsid w:val="43AD6888"/>
    <w:rsid w:val="46AC2A37"/>
    <w:rsid w:val="49EA2E0C"/>
    <w:rsid w:val="4D81237A"/>
    <w:rsid w:val="4DD44051"/>
    <w:rsid w:val="5B143670"/>
    <w:rsid w:val="5DB648FD"/>
    <w:rsid w:val="65260B2B"/>
    <w:rsid w:val="65536CCA"/>
    <w:rsid w:val="6B884305"/>
    <w:rsid w:val="6E673261"/>
    <w:rsid w:val="6F3D5C35"/>
    <w:rsid w:val="70E55EE0"/>
    <w:rsid w:val="73AC115A"/>
    <w:rsid w:val="74FF3374"/>
    <w:rsid w:val="75991AF2"/>
    <w:rsid w:val="7DAC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1"/>
    <w:rPr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71"/>
      <w:ind w:left="1182" w:hanging="323"/>
    </w:pPr>
  </w:style>
  <w:style w:type="paragraph" w:customStyle="1" w:styleId="12">
    <w:name w:val="Table Paragraph"/>
    <w:basedOn w:val="1"/>
    <w:qFormat/>
    <w:uiPriority w:val="1"/>
    <w:pPr>
      <w:spacing w:before="149"/>
      <w:ind w:left="104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1525</Words>
  <Characters>1751</Characters>
  <Lines>16</Lines>
  <Paragraphs>4</Paragraphs>
  <TotalTime>2</TotalTime>
  <ScaleCrop>false</ScaleCrop>
  <LinksUpToDate>false</LinksUpToDate>
  <CharactersWithSpaces>1793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2021-08-17T08:25:00Z</dcterms:created>
  <dc:creator>孙庆云</dc:creator>
  <cp:lastModifiedBy>G060王禹茗</cp:lastModifiedBy>
  <dcterms:modified xsi:type="dcterms:W3CDTF">2023-08-31T07:10:09Z</dcterms:modified>
  <dc:title>山东省省管企业财务等重大信息公开披露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42B43CFEF8D84410829A62E9DB7A2508</vt:lpwstr>
  </property>
</Properties>
</file>